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hint="default" w:ascii="Times New Roman" w:hAnsi="Times New Roman" w:cs="Times New Roman"/>
          <w:b/>
          <w:bCs/>
          <w:sz w:val="28"/>
          <w:lang w:val="en-US"/>
        </w:rPr>
      </w:pPr>
      <w:bookmarkStart w:id="0" w:name="DocumentFor"/>
      <w:bookmarkEnd w:id="0"/>
      <w:r>
        <w:rPr>
          <w:rFonts w:ascii="Times New Roman" w:hAnsi="Times New Roman" w:eastAsia="Batang" w:cs="Times New Roman"/>
          <w:b/>
          <w:bCs/>
          <w:sz w:val="28"/>
          <w:lang w:eastAsia="en-US"/>
        </w:rPr>
        <w:t>3GPP TSG RAN WG1 #10</w:t>
      </w:r>
      <w:r>
        <w:rPr>
          <w:rFonts w:ascii="Times New Roman" w:hAnsi="Times New Roman" w:cs="Times New Roman"/>
          <w:b/>
          <w:bCs/>
          <w:sz w:val="28"/>
        </w:rPr>
        <w:t>9</w:t>
      </w:r>
      <w:r>
        <w:rPr>
          <w:rFonts w:ascii="Times New Roman" w:hAnsi="Times New Roman" w:eastAsia="Batang" w:cs="Times New Roman"/>
          <w:b/>
          <w:bCs/>
          <w:sz w:val="28"/>
          <w:lang w:eastAsia="en-US"/>
        </w:rPr>
        <w:t>-e</w:t>
      </w:r>
      <w:r>
        <w:rPr>
          <w:rFonts w:ascii="Times New Roman" w:hAnsi="Times New Roman" w:eastAsia="Batang" w:cs="Times New Roman"/>
          <w:b/>
          <w:bCs/>
          <w:sz w:val="28"/>
          <w:lang w:eastAsia="en-US"/>
        </w:rPr>
        <w:tab/>
      </w:r>
      <w:r>
        <w:rPr>
          <w:rFonts w:ascii="Times New Roman" w:hAnsi="Times New Roman" w:eastAsia="Batang" w:cs="Times New Roman"/>
          <w:b/>
          <w:bCs/>
          <w:sz w:val="28"/>
          <w:lang w:eastAsia="en-US"/>
        </w:rPr>
        <w:tab/>
      </w:r>
      <w:r>
        <w:rPr>
          <w:rFonts w:ascii="Times New Roman" w:hAnsi="Times New Roman" w:eastAsia="Batang" w:cs="Times New Roman"/>
          <w:b/>
          <w:bCs/>
          <w:sz w:val="28"/>
          <w:lang w:eastAsia="en-US"/>
        </w:rPr>
        <w:tab/>
      </w:r>
      <w:r>
        <w:rPr>
          <w:rFonts w:ascii="Times New Roman" w:hAnsi="Times New Roman" w:eastAsia="Batang" w:cs="Times New Roman"/>
          <w:b/>
          <w:bCs/>
          <w:sz w:val="28"/>
          <w:lang w:eastAsia="en-US"/>
        </w:rPr>
        <w:t xml:space="preserve">                      </w:t>
      </w:r>
      <w:r>
        <w:rPr>
          <w:rFonts w:ascii="Times New Roman" w:hAnsi="Times New Roman" w:cs="Times New Roman"/>
          <w:b/>
          <w:bCs/>
          <w:sz w:val="28"/>
        </w:rPr>
        <w:t xml:space="preserve">   </w:t>
      </w:r>
      <w:r>
        <w:rPr>
          <w:rFonts w:hint="default" w:ascii="Times New Roman" w:hAnsi="Times New Roman" w:cs="Times New Roman"/>
          <w:b/>
          <w:bCs/>
          <w:sz w:val="28"/>
          <w:lang w:val="en-US"/>
        </w:rPr>
        <w:t xml:space="preserve">   </w:t>
      </w:r>
      <w:r>
        <w:rPr>
          <w:rFonts w:ascii="Times New Roman" w:hAnsi="Times New Roman" w:cs="Times New Roman"/>
          <w:b/>
          <w:bCs/>
          <w:sz w:val="28"/>
        </w:rPr>
        <w:t xml:space="preserve"> </w:t>
      </w:r>
      <w:r>
        <w:rPr>
          <w:rFonts w:hint="default" w:ascii="Times New Roman" w:hAnsi="Times New Roman" w:cs="Times New Roman"/>
          <w:b/>
          <w:bCs/>
          <w:sz w:val="28"/>
          <w:lang w:val="en-US"/>
        </w:rPr>
        <w:t xml:space="preserve">  </w:t>
      </w:r>
      <w:r>
        <w:rPr>
          <w:rFonts w:ascii="Times New Roman" w:hAnsi="Times New Roman" w:eastAsia="Batang" w:cs="Times New Roman"/>
          <w:b/>
          <w:bCs/>
          <w:sz w:val="28"/>
          <w:lang w:eastAsia="en-US"/>
        </w:rPr>
        <w:t>R1-220</w:t>
      </w:r>
      <w:r>
        <w:rPr>
          <w:rFonts w:hint="default" w:ascii="Times New Roman" w:hAnsi="Times New Roman" w:eastAsia="Batang" w:cs="Times New Roman"/>
          <w:b/>
          <w:bCs/>
          <w:sz w:val="28"/>
          <w:lang w:val="en-US" w:eastAsia="en-US"/>
        </w:rPr>
        <w:t>4330</w:t>
      </w:r>
    </w:p>
    <w:p>
      <w:pPr>
        <w:outlineLvl w:val="0"/>
        <w:rPr>
          <w:rFonts w:ascii="Times New Roman" w:hAnsi="Times New Roman" w:eastAsia="Batang" w:cs="Times New Roman"/>
          <w:b/>
          <w:bCs/>
          <w:sz w:val="28"/>
          <w:lang w:eastAsia="en-US"/>
        </w:rPr>
      </w:pPr>
      <w:r>
        <w:rPr>
          <w:rFonts w:ascii="Times New Roman" w:hAnsi="Times New Roman" w:eastAsia="Batang" w:cs="Times New Roman"/>
          <w:b/>
          <w:bCs/>
          <w:sz w:val="28"/>
          <w:lang w:eastAsia="en-US"/>
        </w:rPr>
        <w:t xml:space="preserve">e-Meeting, </w:t>
      </w:r>
      <w:r>
        <w:rPr>
          <w:rFonts w:ascii="Times New Roman" w:hAnsi="Times New Roman" w:eastAsia="Batang" w:cs="Times New Roman"/>
          <w:b/>
          <w:bCs/>
          <w:sz w:val="28"/>
          <w:lang w:eastAsia="ja-JP"/>
        </w:rPr>
        <w:t>May 9</w:t>
      </w:r>
      <w:r>
        <w:rPr>
          <w:rFonts w:ascii="Times New Roman" w:hAnsi="Times New Roman" w:eastAsia="Batang" w:cs="Times New Roman"/>
          <w:b/>
          <w:bCs/>
          <w:sz w:val="28"/>
          <w:vertAlign w:val="superscript"/>
          <w:lang w:eastAsia="ja-JP"/>
        </w:rPr>
        <w:t>th</w:t>
      </w:r>
      <w:r>
        <w:rPr>
          <w:rFonts w:ascii="Times New Roman" w:hAnsi="Times New Roman" w:eastAsia="Batang" w:cs="Times New Roman"/>
          <w:b/>
          <w:bCs/>
          <w:sz w:val="28"/>
          <w:lang w:eastAsia="ja-JP"/>
        </w:rPr>
        <w:t xml:space="preserve"> – 20</w:t>
      </w:r>
      <w:r>
        <w:rPr>
          <w:rFonts w:ascii="Times New Roman" w:hAnsi="Times New Roman" w:eastAsia="Batang" w:cs="Times New Roman"/>
          <w:b/>
          <w:bCs/>
          <w:sz w:val="28"/>
          <w:vertAlign w:val="superscript"/>
          <w:lang w:eastAsia="ja-JP"/>
        </w:rPr>
        <w:t>th</w:t>
      </w:r>
      <w:r>
        <w:rPr>
          <w:rFonts w:ascii="Times New Roman" w:hAnsi="Times New Roman" w:eastAsia="Batang" w:cs="Times New Roman"/>
          <w:b/>
          <w:bCs/>
          <w:sz w:val="28"/>
          <w:lang w:eastAsia="ja-JP"/>
        </w:rPr>
        <w:t>, 2022</w:t>
      </w:r>
    </w:p>
    <w:p/>
    <w:p>
      <w:pPr>
        <w:pStyle w:val="125"/>
        <w:spacing w:before="120" w:after="120"/>
        <w:rPr>
          <w:rFonts w:ascii="Times New Roman" w:hAnsi="Times New Roman"/>
          <w:sz w:val="24"/>
          <w:szCs w:val="24"/>
          <w:lang w:val="en-US"/>
        </w:rPr>
      </w:pPr>
      <w:bookmarkStart w:id="1" w:name="OLE_LINK3"/>
      <w:bookmarkStart w:id="2"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before="120" w:after="12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sz w:val="24"/>
          <w:szCs w:val="24"/>
          <w:lang w:val="en-US"/>
        </w:rPr>
        <w:t>Discussion on improved GNSS operations for IoT NTN</w:t>
      </w:r>
    </w:p>
    <w:p>
      <w:pPr>
        <w:pStyle w:val="125"/>
        <w:spacing w:before="120" w:after="12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9.12</w:t>
      </w:r>
      <w:r>
        <w:rPr>
          <w:rFonts w:ascii="Times New Roman" w:hAnsi="Times New Roman"/>
          <w:sz w:val="24"/>
          <w:szCs w:val="24"/>
        </w:rPr>
        <w:t>.</w:t>
      </w:r>
      <w:r>
        <w:rPr>
          <w:rFonts w:ascii="Times New Roman" w:hAnsi="Times New Roman"/>
          <w:sz w:val="24"/>
          <w:szCs w:val="24"/>
          <w:lang w:val="en-US"/>
        </w:rPr>
        <w:t>3</w:t>
      </w:r>
    </w:p>
    <w:p>
      <w:pPr>
        <w:pStyle w:val="125"/>
        <w:spacing w:before="120" w:after="12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r>
      <w:r>
        <w:rPr>
          <w:rFonts w:ascii="Times New Roman" w:hAnsi="Times New Roman"/>
          <w:sz w:val="24"/>
          <w:szCs w:val="24"/>
        </w:rPr>
        <w:t>Discussion &amp; Decision</w:t>
      </w:r>
    </w:p>
    <w:p>
      <w:pPr>
        <w:pStyle w:val="2"/>
        <w:numPr>
          <w:ilvl w:val="0"/>
          <w:numId w:val="10"/>
        </w:numPr>
        <w:pBdr>
          <w:top w:val="single" w:color="auto" w:sz="8" w:space="1"/>
          <w:left w:val="none" w:color="auto" w:sz="0" w:space="4"/>
          <w:bottom w:val="none" w:color="auto" w:sz="0" w:space="1"/>
          <w:right w:val="none" w:color="auto" w:sz="0" w:space="4"/>
        </w:pBdr>
        <w:spacing w:before="240" w:beforeLines="0" w:after="180" w:afterLines="0"/>
        <w:ind w:left="363" w:hanging="363"/>
        <w:rPr>
          <w:rFonts w:ascii="Times New Roman" w:hAnsi="Times New Roman"/>
        </w:rPr>
      </w:pPr>
      <w:bookmarkStart w:id="4" w:name="_Toc120549591"/>
      <w:r>
        <w:rPr>
          <w:rFonts w:ascii="Times New Roman" w:hAnsi="Times New Roman"/>
        </w:rPr>
        <w:t>Introduction</w:t>
      </w:r>
      <w:bookmarkEnd w:id="4"/>
    </w:p>
    <w:bookmarkEnd w:id="1"/>
    <w:bookmarkEnd w:id="2"/>
    <w:p>
      <w:pPr>
        <w:spacing w:before="120" w:beforeLines="50" w:after="120" w:afterLines="50"/>
        <w:rPr>
          <w:rFonts w:ascii="Times New Roman" w:hAnsi="Times New Roman" w:cs="Times New Roman"/>
          <w:sz w:val="20"/>
          <w:szCs w:val="20"/>
        </w:rPr>
      </w:pPr>
      <w:bookmarkStart w:id="5" w:name="_Hlk521259925"/>
      <w:r>
        <w:rPr>
          <w:rFonts w:ascii="Times New Roman" w:hAnsi="Times New Roman" w:cs="Times New Roman"/>
          <w:sz w:val="20"/>
          <w:szCs w:val="20"/>
        </w:rPr>
        <w:t xml:space="preserve">During RAN#94-e and RAN#95-e meeting, </w:t>
      </w:r>
      <w:r>
        <w:rPr>
          <w:rFonts w:hint="eastAsia" w:ascii="Times New Roman" w:hAnsi="Times New Roman" w:cs="Times New Roman"/>
          <w:sz w:val="20"/>
          <w:szCs w:val="20"/>
        </w:rPr>
        <w:t>a new work item is proposed to define further enhancements for NB-IoT NTN and eMTC NTN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The justification and objectives that the work item focuses on are as follows</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120" w:beforeLines="50" w:after="120" w:afterLines="50"/>
              <w:rPr>
                <w:rFonts w:ascii="Times New Roman" w:hAnsi="Times New Roman" w:eastAsia="MS Mincho" w:cs="Times New Roman"/>
                <w:b/>
                <w:bCs/>
                <w:kern w:val="0"/>
                <w:sz w:val="20"/>
                <w:szCs w:val="20"/>
                <w:lang w:eastAsia="en-US"/>
              </w:rPr>
            </w:pPr>
            <w:r>
              <w:rPr>
                <w:rFonts w:ascii="Times New Roman" w:hAnsi="Times New Roman" w:eastAsia="MS Mincho" w:cs="Times New Roman"/>
                <w:b/>
                <w:bCs/>
                <w:kern w:val="0"/>
                <w:sz w:val="20"/>
                <w:szCs w:val="20"/>
                <w:lang w:eastAsia="en-US"/>
              </w:rPr>
              <w:t>Justification</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In Release 17, a work item is carried out to enable NB-IoT and eMTC to support Non-Terrestrial Networks (NTN) under the following assumptions:</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Transparent payload based GEO and NGSO network scenarios addressing at least 3GPP power class 3 UE with GNSS capability in both Earth fixed &amp;/or moving cell configurations.</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As part of release 18, a new work item is proposed to define further enhancements for NB-IoT NTN and eMTC NTN in order to:</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Improve mobility aspects</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Improve performance in terms of throughput</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Optimize the GNSS operation with sparse use of GNSS and power efficiency for long-term connection (compared to Rel-17)</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Further enhance support for discontinuous coverage (subject to Rel-17 IoT-NTN status on discontinuous coverage at RAN#96e/June 2022)</w:t>
            </w:r>
          </w:p>
          <w:p>
            <w:pPr>
              <w:rPr>
                <w:rFonts w:ascii="Times New Roman" w:hAnsi="Times New Roman" w:eastAsia="MS Mincho" w:cs="Times New Roman"/>
                <w:kern w:val="0"/>
                <w:sz w:val="20"/>
                <w:szCs w:val="20"/>
                <w:lang w:eastAsia="en-US"/>
              </w:rPr>
            </w:pPr>
            <w:r>
              <w:rPr>
                <w:rFonts w:ascii="Times New Roman" w:hAnsi="Times New Roman" w:eastAsia="MS Mincho" w:cs="Times New Roman"/>
                <w:b/>
                <w:bCs/>
                <w:kern w:val="0"/>
                <w:sz w:val="20"/>
                <w:szCs w:val="20"/>
                <w:lang w:eastAsia="en-US"/>
              </w:rPr>
              <w:t>Objective</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work item aims to specify further enhancements for E-UTRA (LTE-RAN) based NTN (non-terrestrial networks) according to the following assumptions:</w:t>
            </w:r>
          </w:p>
          <w:p>
            <w:pPr>
              <w:spacing w:before="120" w:beforeLines="50" w:after="120" w:afterLines="50"/>
              <w:ind w:left="567" w:hanging="283"/>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GEO and NGSO (LEO and MEO).</w:t>
            </w:r>
          </w:p>
          <w:p>
            <w:pPr>
              <w:spacing w:before="120" w:beforeLines="50" w:after="120" w:afterLines="50"/>
              <w:ind w:left="567" w:hanging="283"/>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Earth fixed Tracking area. Earth fixed &amp; Earth moving cells for NGSO</w:t>
            </w:r>
          </w:p>
          <w:p>
            <w:pPr>
              <w:spacing w:before="120" w:beforeLines="50" w:after="120" w:afterLines="50"/>
              <w:ind w:left="567" w:hanging="283"/>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FDD mode</w:t>
            </w:r>
          </w:p>
          <w:p>
            <w:pPr>
              <w:spacing w:before="120" w:beforeLines="50" w:after="120" w:afterLines="50"/>
              <w:ind w:left="567" w:hanging="283"/>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UEs with GNSS capabilities</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detailed objectives are to specify enhanced NB-IoT NTN and eMTC NTN radio interfaces and E-UTRAN/NG-RAN as follows:</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first objective is that IoT-NTN Performance Enhancements in Rel-18 to address remaining issues from Rel-17</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This work considers Rel-17 IoT-NTN as baseline as well as Rel-17 NR-NTN outcome and the further IoT-NTN performance enhancements objectives are listed below:</w:t>
            </w:r>
          </w:p>
          <w:p>
            <w:pPr>
              <w:spacing w:before="120" w:beforeLines="50" w:after="120" w:afterLines="50"/>
              <w:ind w:left="567" w:hanging="283"/>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Disabling of HARQ feedback to mitigate impact of HARQ stalling on UE data rates [RAN1,RAN2]</w:t>
            </w:r>
          </w:p>
          <w:p>
            <w:pPr>
              <w:spacing w:before="120" w:beforeLines="50" w:after="120" w:afterLines="50"/>
              <w:ind w:left="567" w:hanging="283"/>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w:t>
            </w:r>
            <w:r>
              <w:rPr>
                <w:rFonts w:ascii="Times New Roman" w:hAnsi="Times New Roman" w:eastAsia="MS Mincho" w:cs="Times New Roman"/>
                <w:kern w:val="0"/>
                <w:sz w:val="20"/>
                <w:szCs w:val="20"/>
                <w:lang w:eastAsia="en-US"/>
              </w:rPr>
              <w:tab/>
            </w:r>
            <w:r>
              <w:rPr>
                <w:rFonts w:ascii="Times New Roman" w:hAnsi="Times New Roman" w:eastAsia="MS Mincho" w:cs="Times New Roman"/>
                <w:kern w:val="0"/>
                <w:sz w:val="20"/>
                <w:szCs w:val="20"/>
                <w:lang w:eastAsia="en-US"/>
              </w:rPr>
              <w:t>Study and specify, if needed, improved GNSS operations for a new position fix for UE pre-compensation during long connection times and for reduced power consumption. Simultaneous GNSS and NTN NB-IoT/eMTC operation is not assumed. [RAN1]</w:t>
            </w:r>
          </w:p>
          <w:p>
            <w:pPr>
              <w:widowControl/>
              <w:numPr>
                <w:ilvl w:val="0"/>
                <w:numId w:val="11"/>
              </w:numPr>
              <w:spacing w:before="120" w:beforeLines="50" w:after="120" w:afterLines="50"/>
              <w:ind w:left="600" w:leftChars="2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The need for RAN4 Core requirements for this objective will be identified after the conclusion on the need for improvements.</w:t>
            </w:r>
          </w:p>
        </w:tc>
      </w:tr>
    </w:tbl>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this contribution, we will share our views on </w:t>
      </w:r>
      <w:r>
        <w:rPr>
          <w:rFonts w:ascii="Times New Roman" w:hAnsi="Times New Roman" w:eastAsia="MS Mincho" w:cs="Times New Roman"/>
          <w:kern w:val="0"/>
          <w:sz w:val="20"/>
          <w:szCs w:val="20"/>
          <w:lang w:eastAsia="en-US"/>
        </w:rPr>
        <w:t>improved GNSS operations</w:t>
      </w:r>
      <w:r>
        <w:rPr>
          <w:rFonts w:ascii="Times New Roman" w:hAnsi="Times New Roman" w:cs="Times New Roman"/>
          <w:bCs/>
          <w:iCs/>
          <w:sz w:val="20"/>
          <w:szCs w:val="20"/>
        </w:rPr>
        <w:t xml:space="preserve"> during long connection times for IoT NTN.</w:t>
      </w:r>
    </w:p>
    <w:p>
      <w:pPr>
        <w:pStyle w:val="2"/>
        <w:numPr>
          <w:ilvl w:val="0"/>
          <w:numId w:val="10"/>
        </w:numPr>
        <w:pBdr>
          <w:top w:val="none" w:color="auto" w:sz="0" w:space="1"/>
          <w:left w:val="none" w:color="auto" w:sz="0" w:space="4"/>
          <w:bottom w:val="none" w:color="auto" w:sz="0" w:space="1"/>
          <w:right w:val="none" w:color="auto" w:sz="0" w:space="4"/>
        </w:pBdr>
        <w:spacing w:before="120" w:after="120"/>
        <w:ind w:left="363" w:hanging="363"/>
        <w:rPr>
          <w:rFonts w:ascii="Times New Roman" w:hAnsi="Times New Roman"/>
          <w:lang w:eastAsia="zh-CN"/>
        </w:rPr>
      </w:pPr>
      <w:r>
        <w:rPr>
          <w:rFonts w:hint="eastAsia" w:ascii="Times New Roman" w:hAnsi="Times New Roman"/>
          <w:lang w:eastAsia="zh-CN"/>
        </w:rPr>
        <w:t>D</w:t>
      </w:r>
      <w:r>
        <w:rPr>
          <w:rFonts w:ascii="Times New Roman" w:hAnsi="Times New Roman"/>
          <w:lang w:eastAsia="zh-CN"/>
        </w:rPr>
        <w:t>iscussion</w:t>
      </w:r>
    </w:p>
    <w:p>
      <w:pPr>
        <w:pStyle w:val="3"/>
        <w:numPr>
          <w:ilvl w:val="1"/>
          <w:numId w:val="0"/>
        </w:numPr>
        <w:spacing w:before="120" w:after="120"/>
        <w:rPr>
          <w:b/>
          <w:bCs/>
        </w:rPr>
      </w:pPr>
      <w:r>
        <w:rPr>
          <w:b/>
          <w:bCs/>
        </w:rPr>
        <w:t>2.1 Issue-1: GNSS measurement during long connection time</w:t>
      </w:r>
    </w:p>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the RAN1 #106-e meeting, several agreements were achieved on GNSS capability assumption and GNSS re-acquirement for sporadic short transmission in IoT NTN as following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_Ref53758539 \n \h </w:instrText>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19" w:type="dxa"/>
          </w:tcPr>
          <w:p>
            <w:pPr>
              <w:spacing w:before="120" w:beforeLines="50" w:after="120" w:afterLines="50"/>
              <w:rPr>
                <w:rFonts w:ascii="Times New Roman" w:hAnsi="Times New Roman" w:eastAsia="MS Mincho" w:cs="Times New Roman"/>
                <w:b/>
                <w:bCs/>
                <w:kern w:val="0"/>
                <w:sz w:val="20"/>
                <w:szCs w:val="20"/>
                <w:highlight w:val="green"/>
                <w:lang w:eastAsia="en-US"/>
              </w:rPr>
            </w:pPr>
            <w:r>
              <w:rPr>
                <w:rFonts w:hint="eastAsia" w:ascii="Times New Roman" w:hAnsi="Times New Roman" w:eastAsia="MS Mincho" w:cs="Times New Roman"/>
                <w:b/>
                <w:bCs/>
                <w:kern w:val="0"/>
                <w:sz w:val="20"/>
                <w:szCs w:val="20"/>
                <w:highlight w:val="green"/>
                <w:lang w:eastAsia="en-US"/>
              </w:rPr>
              <w:t>Agreement</w:t>
            </w:r>
          </w:p>
          <w:p>
            <w:pPr>
              <w:spacing w:before="120" w:beforeLines="50" w:after="120" w:afterLines="50"/>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The following agreement from NR NTN are re-used for IoT NTN as working assumption</w:t>
            </w:r>
          </w:p>
          <w:p>
            <w:pPr>
              <w:spacing w:before="120" w:beforeLines="50" w:after="120" w:afterLines="50"/>
              <w:ind w:left="240" w:leftChars="100"/>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f.</w:t>
            </w:r>
            <w:r>
              <w:rPr>
                <w:rFonts w:ascii="Times New Roman" w:hAnsi="Times New Roman" w:eastAsia="MS Mincho" w:cs="Times New Roman"/>
                <w:kern w:val="0"/>
                <w:sz w:val="20"/>
                <w:szCs w:val="20"/>
                <w:lang w:eastAsia="en-US"/>
              </w:rPr>
              <w:t xml:space="preserve">  </w:t>
            </w:r>
            <w:r>
              <w:rPr>
                <w:rFonts w:hint="eastAsia" w:ascii="Times New Roman" w:hAnsi="Times New Roman" w:eastAsia="MS Mincho" w:cs="Times New Roman"/>
                <w:kern w:val="0"/>
                <w:sz w:val="20"/>
                <w:szCs w:val="20"/>
                <w:lang w:eastAsia="en-US"/>
              </w:rPr>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pPr>
              <w:spacing w:before="120" w:beforeLines="50" w:after="120" w:afterLines="50"/>
              <w:ind w:left="240" w:leftChars="100"/>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g.</w:t>
            </w:r>
            <w:r>
              <w:rPr>
                <w:rFonts w:ascii="Times New Roman" w:hAnsi="Times New Roman" w:eastAsia="MS Mincho" w:cs="Times New Roman"/>
                <w:kern w:val="0"/>
                <w:sz w:val="20"/>
                <w:szCs w:val="20"/>
                <w:lang w:eastAsia="en-US"/>
              </w:rPr>
              <w:t xml:space="preserve">  </w:t>
            </w:r>
            <w:r>
              <w:rPr>
                <w:rFonts w:hint="eastAsia" w:ascii="Times New Roman" w:hAnsi="Times New Roman" w:eastAsia="MS Mincho" w:cs="Times New Roman"/>
                <w:kern w:val="0"/>
                <w:sz w:val="20"/>
                <w:szCs w:val="20"/>
                <w:lang w:eastAsia="en-US"/>
              </w:rPr>
              <w:t>Serving satellite ephemeris Epoch time is implicitly known as a reference time defined by the starting time of a DL slot and/or frame.</w:t>
            </w:r>
          </w:p>
          <w:p>
            <w:pPr>
              <w:spacing w:before="120" w:beforeLines="50" w:after="120" w:afterLines="50"/>
              <w:ind w:left="480" w:leftChars="200"/>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FFS: Whether this starting time is given by predefined rule or it is indicated by the Network</w:t>
            </w:r>
          </w:p>
          <w:p>
            <w:pPr>
              <w:spacing w:before="120" w:beforeLines="50" w:after="120" w:afterLines="50"/>
              <w:rPr>
                <w:rFonts w:ascii="Times New Roman" w:hAnsi="Times New Roman" w:eastAsia="MS Mincho" w:cs="Times New Roman"/>
                <w:b/>
                <w:bCs/>
                <w:kern w:val="0"/>
                <w:sz w:val="20"/>
                <w:szCs w:val="20"/>
                <w:highlight w:val="green"/>
                <w:lang w:eastAsia="en-US"/>
              </w:rPr>
            </w:pPr>
            <w:r>
              <w:rPr>
                <w:rFonts w:ascii="Times New Roman" w:hAnsi="Times New Roman" w:eastAsia="MS Mincho" w:cs="Times New Roman"/>
                <w:b/>
                <w:bCs/>
                <w:kern w:val="0"/>
                <w:sz w:val="20"/>
                <w:szCs w:val="20"/>
                <w:highlight w:val="green"/>
                <w:lang w:eastAsia="en-US"/>
              </w:rPr>
              <w:t>Agreement</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For sporadic short transmission, UE in RRC_CONNECTED should go back to idle mode and re-acquire a GNSS position fix if GNSS becomes outdated.</w:t>
            </w:r>
          </w:p>
        </w:tc>
      </w:tr>
    </w:tbl>
    <w:p>
      <w:pPr>
        <w:spacing w:before="120" w:beforeLines="50" w:after="120" w:afterLines="50"/>
        <w:rPr>
          <w:rFonts w:ascii="Times New Roman" w:hAnsi="Times New Roman" w:cs="Times New Roman"/>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w:t>
      </w:r>
      <w:r>
        <w:rPr>
          <w:rFonts w:ascii="Times New Roman" w:hAnsi="Times New Roman" w:cs="Times New Roman"/>
          <w:sz w:val="20"/>
          <w:szCs w:val="20"/>
        </w:rPr>
        <w:t>RAN1 #107-e meeting, the following agreements on GNSS validity for IoT NTN were achieved [3].</w:t>
      </w:r>
    </w:p>
    <w:tbl>
      <w:tblPr>
        <w:tblStyle w:val="4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5" w:type="dxa"/>
          </w:tcPr>
          <w:p>
            <w:pPr>
              <w:spacing w:before="120" w:beforeLines="50" w:after="120" w:afterLines="50"/>
              <w:rPr>
                <w:rFonts w:ascii="Times New Roman" w:hAnsi="Times New Roman" w:eastAsia="MS Mincho" w:cs="Times New Roman"/>
                <w:b/>
                <w:bCs/>
                <w:kern w:val="0"/>
                <w:sz w:val="20"/>
                <w:szCs w:val="20"/>
                <w:highlight w:val="green"/>
                <w:lang w:eastAsia="en-US"/>
              </w:rPr>
            </w:pPr>
            <w:r>
              <w:rPr>
                <w:rFonts w:hint="eastAsia" w:ascii="Times New Roman" w:hAnsi="Times New Roman" w:eastAsia="MS Mincho" w:cs="Times New Roman"/>
                <w:b/>
                <w:bCs/>
                <w:kern w:val="0"/>
                <w:sz w:val="20"/>
                <w:szCs w:val="20"/>
                <w:highlight w:val="green"/>
                <w:lang w:eastAsia="en-US"/>
              </w:rPr>
              <w:t>Agreement</w:t>
            </w:r>
          </w:p>
          <w:p>
            <w:pPr>
              <w:spacing w:before="120" w:beforeLines="50" w:after="120" w:afterLines="50"/>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The UE autonomously determines its GNSS validity duration X and reports information associated with this valid duration to the network via RRC signalling.</w:t>
            </w:r>
          </w:p>
          <w:p>
            <w:pPr>
              <w:spacing w:before="120" w:beforeLines="50" w:after="120" w:afterLines="50"/>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X = {10s, 20s, 30s, 40s, 50s, 60s, 5 min, 10 min, 15 min, 20 min, 25 min, 30 min, 60 min, 90 min, 120 min, infinity}</w:t>
            </w:r>
          </w:p>
          <w:p>
            <w:pPr>
              <w:spacing w:before="120" w:beforeLines="50" w:after="120" w:afterLines="50"/>
              <w:rPr>
                <w:rFonts w:ascii="Times New Roman" w:hAnsi="Times New Roman" w:eastAsia="MS Mincho" w:cs="Times New Roman"/>
                <w:b/>
                <w:bCs/>
                <w:kern w:val="0"/>
                <w:sz w:val="20"/>
                <w:szCs w:val="20"/>
                <w:highlight w:val="green"/>
                <w:lang w:eastAsia="en-US"/>
              </w:rPr>
            </w:pPr>
            <w:r>
              <w:rPr>
                <w:rFonts w:ascii="Times New Roman" w:hAnsi="Times New Roman" w:eastAsia="MS Mincho" w:cs="Times New Roman"/>
                <w:b/>
                <w:bCs/>
                <w:kern w:val="0"/>
                <w:sz w:val="20"/>
                <w:szCs w:val="20"/>
                <w:highlight w:val="green"/>
                <w:lang w:eastAsia="en-US"/>
              </w:rPr>
              <w:t>Agreement</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Send LS to RAN2 to take the following RAN1 agreements into consideration to specify the aspects related to GNSS position validity:</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For sporadic short transmission, UE in RRC_CONNECTED should go back to idle mode and re-acquire a GNSS position fix if GNSS becomes outdated </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The UE autonomously determines its GNSS validity duration X and reports information associated with this valid duration to the network via RRC signalling. </w:t>
            </w:r>
          </w:p>
          <w:p>
            <w:pPr>
              <w:numPr>
                <w:ilvl w:val="0"/>
                <w:numId w:val="12"/>
              </w:numPr>
              <w:spacing w:before="120" w:beforeLines="50" w:after="120" w:afterLines="50"/>
              <w:ind w:left="600" w:leftChars="2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X = {10s, 20s, 30s, 40s, 50s, 60s, 5 min, 10 min, 15 min, 20 min, 25 min, 30 min, 60 min, 90 min, 120 min, infinity}</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The duration of the short transmission is not longer than the “validity timer for UL synchronization” referred to in the WID objective (but which still needs further discussion for specifying further details)</w:t>
            </w: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Considering the assumption that UE calculates timing advance and frequency adjustment based on acquired GNSS position during long transmission in NB-IoT and eMTC, since the GNSS has a limited validity time, timing advance value calculated based on GNSS-acquired UE position may be not available or sufficiently accurate due to the GNSS becomes outdated during the long transmission. Thus one key issue is how to ensure the GNSS positioning accuracy in long transmission times. </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It is noted that simultaneous GNSS and NTN NB-IoT/eMTC operation is not assumed, to ensure that UE in RRC_connected state will still be able to perform timing and frequency pre-compensation based on accurate GNSS position without impact on NB-IoT/eMTC module, the GNSS measurement gaps during long connection time may be required in case of GNSS expiration, and detailed configuration of GNSS measurement gaps needs to be further studied.</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Proposal 1. During long connection times, GNSS measurement may be re-acquired for timing and frequency pre-compensation due to the limited GNSS validity duration, and the GNSS measurement gaps can be applied to update the GNSS position fix.</w:t>
      </w:r>
    </w:p>
    <w:p>
      <w:pPr>
        <w:spacing w:before="120" w:beforeLines="50" w:after="120" w:afterLines="50"/>
        <w:rPr>
          <w:rFonts w:ascii="Times New Roman" w:hAnsi="Times New Roman" w:cs="Times New Roman"/>
          <w:sz w:val="20"/>
          <w:szCs w:val="20"/>
        </w:rPr>
      </w:pPr>
      <w:r>
        <w:rPr>
          <w:rFonts w:ascii="Times New Roman" w:hAnsi="Times New Roman" w:cs="Times New Roman"/>
          <w:sz w:val="20"/>
          <w:szCs w:val="20"/>
        </w:rPr>
        <w:t xml:space="preserve">If GNSS measurement gap configuration is supported for long transmission, as simultaneous GNSS and NTN NB-IoT/eMTC operation is not assumed, a common understanding between UE and eNB that data transmission will automatically skip the GNSS measurement gap should be achieved, </w:t>
      </w:r>
      <w:r>
        <w:rPr>
          <w:rFonts w:ascii="Times New Roman" w:hAnsi="Times New Roman" w:cs="Times New Roman"/>
          <w:bCs/>
          <w:iCs/>
          <w:sz w:val="20"/>
          <w:szCs w:val="20"/>
        </w:rPr>
        <w:t xml:space="preserve">which can </w:t>
      </w:r>
      <w:r>
        <w:rPr>
          <w:rFonts w:ascii="Times New Roman" w:hAnsi="Times New Roman" w:cs="Times New Roman"/>
          <w:sz w:val="20"/>
          <w:szCs w:val="20"/>
        </w:rPr>
        <w:t xml:space="preserve">depend on the eNB’s implementation. That is the UE may autonomously stop NB-IoT/eMTC operation and start the </w:t>
      </w:r>
      <w:r>
        <w:rPr>
          <w:rFonts w:ascii="Times New Roman" w:hAnsi="Times New Roman" w:eastAsia="MS Mincho" w:cs="Times New Roman"/>
          <w:kern w:val="0"/>
          <w:sz w:val="20"/>
          <w:szCs w:val="20"/>
          <w:lang w:eastAsia="en-US"/>
        </w:rPr>
        <w:t xml:space="preserve">GNSS operations for a new position fix, then switch to </w:t>
      </w:r>
      <w:r>
        <w:rPr>
          <w:rFonts w:ascii="Times New Roman" w:hAnsi="Times New Roman" w:cs="Times New Roman"/>
          <w:sz w:val="20"/>
          <w:szCs w:val="20"/>
        </w:rPr>
        <w:t xml:space="preserve">NB-IoT/eMTC operation after GNSS measurement being finished, the timeline for this process should be aligned between UE and network. </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In our view, the GNSS validity duration is mainly determined by UE according to the mobility and position accuracy requirements, thus the GNSS measurement acquired for a new GNSS position fix can be configured individually per UE level. Besides, t</w:t>
      </w:r>
      <w:r>
        <w:rPr>
          <w:rFonts w:ascii="Times New Roman" w:hAnsi="Times New Roman" w:cs="Times New Roman"/>
          <w:sz w:val="20"/>
          <w:szCs w:val="20"/>
        </w:rPr>
        <w:t>o minimize the delay and overhead of UE to perform a new GNSS position fix during long connection times, mechanisms to support UE perform GNSS operation and NTN NB-IoT/eMTC operation on non-overlapping slot/frame need to be further studied.</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 xml:space="preserve">Proposal 2. If GNSS measurement gap is applied to enable a new GNSS position fix during long connection times, the common understanding between UE and eNB that </w:t>
      </w:r>
      <w:r>
        <w:rPr>
          <w:rFonts w:ascii="Times New Roman" w:hAnsi="Times New Roman" w:cs="Times New Roman"/>
          <w:b/>
          <w:sz w:val="20"/>
          <w:szCs w:val="20"/>
        </w:rPr>
        <w:t>UE may</w:t>
      </w:r>
      <w:r>
        <w:rPr>
          <w:rFonts w:ascii="Times New Roman" w:hAnsi="Times New Roman" w:cs="Times New Roman"/>
          <w:b/>
          <w:iCs/>
          <w:sz w:val="20"/>
          <w:szCs w:val="20"/>
        </w:rPr>
        <w:t xml:space="preserve"> automatically </w:t>
      </w:r>
      <w:r>
        <w:rPr>
          <w:rFonts w:ascii="Times New Roman" w:hAnsi="Times New Roman" w:cs="Times New Roman"/>
          <w:b/>
          <w:sz w:val="20"/>
          <w:szCs w:val="20"/>
        </w:rPr>
        <w:t xml:space="preserve">perform GNSS operation and NTN NB-IoT/eMTC operation on non-overlapping slot/frame </w:t>
      </w:r>
      <w:r>
        <w:rPr>
          <w:rFonts w:ascii="Times New Roman" w:hAnsi="Times New Roman" w:cs="Times New Roman"/>
          <w:b/>
          <w:iCs/>
          <w:sz w:val="20"/>
          <w:szCs w:val="20"/>
        </w:rPr>
        <w:t>should be achieved</w:t>
      </w:r>
      <w:r>
        <w:rPr>
          <w:rFonts w:ascii="Times New Roman" w:hAnsi="Times New Roman" w:cs="Times New Roman"/>
          <w:b/>
          <w:sz w:val="20"/>
          <w:szCs w:val="20"/>
        </w:rPr>
        <w:t>.</w:t>
      </w:r>
    </w:p>
    <w:p>
      <w:pPr>
        <w:spacing w:before="120" w:beforeLines="50" w:after="120" w:afterLines="50"/>
        <w:rPr>
          <w:rFonts w:ascii="Times New Roman" w:hAnsi="Times New Roman" w:cs="Times New Roman"/>
          <w:sz w:val="20"/>
          <w:szCs w:val="20"/>
        </w:rPr>
      </w:pPr>
      <w:r>
        <w:rPr>
          <w:rFonts w:ascii="Times New Roman" w:hAnsi="Times New Roman" w:cs="Times New Roman"/>
          <w:b/>
          <w:iCs/>
          <w:sz w:val="20"/>
          <w:szCs w:val="20"/>
        </w:rPr>
        <w:t>Proposal 3. The GNSS measurement gaps can be configured individually per UE level.</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As shown in Figure 1, considering the long transmission, the procedure of GNSS measurement can be first done up to UE’s implementation in the preparation period before NB-IoT/eMTC active duration, and no specification change is needed. </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While during the long connection times, assume that the GNSS measurement gap is supported to enable UE acquire new GNSS position fix when the GNSS position is outdated, to avoid the interference of new GNSS measurement operation to active NB-IoT/eMTC operation, the following configuration can be further studied:</w:t>
      </w:r>
    </w:p>
    <w:p>
      <w:pPr>
        <w:widowControl/>
        <w:numPr>
          <w:ilvl w:val="0"/>
          <w:numId w:val="11"/>
        </w:numPr>
        <w:spacing w:before="120" w:beforeLines="50" w:after="120" w:afterLines="50"/>
        <w:ind w:left="240" w:leftChars="100"/>
        <w:rPr>
          <w:rFonts w:ascii="Times New Roman" w:hAnsi="Times New Roman" w:cs="Times New Roman"/>
          <w:bCs/>
          <w:iCs/>
          <w:sz w:val="20"/>
          <w:szCs w:val="20"/>
        </w:rPr>
      </w:pPr>
      <w:r>
        <w:rPr>
          <w:rFonts w:ascii="Times New Roman" w:hAnsi="Times New Roman" w:cs="Times New Roman"/>
          <w:bCs/>
          <w:iCs/>
          <w:sz w:val="20"/>
          <w:szCs w:val="20"/>
        </w:rPr>
        <w:t>Option 1. Semi-static indication of GNSS measurement gap period through RRC configuration.</w:t>
      </w:r>
    </w:p>
    <w:p>
      <w:pPr>
        <w:widowControl/>
        <w:numPr>
          <w:ilvl w:val="0"/>
          <w:numId w:val="11"/>
        </w:numPr>
        <w:spacing w:before="120" w:beforeLines="50" w:after="120" w:afterLines="50"/>
        <w:ind w:left="240" w:leftChars="100"/>
        <w:rPr>
          <w:rFonts w:ascii="Times New Roman" w:hAnsi="Times New Roman" w:cs="Times New Roman"/>
          <w:bCs/>
          <w:iCs/>
          <w:sz w:val="20"/>
          <w:szCs w:val="20"/>
        </w:rPr>
      </w:pPr>
      <w:r>
        <w:rPr>
          <w:rFonts w:ascii="Times New Roman" w:hAnsi="Times New Roman" w:cs="Times New Roman"/>
          <w:bCs/>
          <w:iCs/>
          <w:sz w:val="20"/>
          <w:szCs w:val="20"/>
        </w:rPr>
        <w:t>Option 2. Indicate the GNSS measurement gap by DCI format when UE re-acquires GNSS position fix.</w:t>
      </w:r>
    </w:p>
    <w:p>
      <w:pPr>
        <w:widowControl/>
        <w:numPr>
          <w:ilvl w:val="0"/>
          <w:numId w:val="11"/>
        </w:numPr>
        <w:spacing w:before="120" w:beforeLines="50" w:after="120" w:afterLines="50"/>
        <w:ind w:left="240" w:leftChars="100"/>
        <w:rPr>
          <w:rFonts w:ascii="Times New Roman" w:hAnsi="Times New Roman" w:cs="Times New Roman"/>
          <w:bCs/>
          <w:iCs/>
          <w:sz w:val="20"/>
          <w:szCs w:val="20"/>
        </w:rPr>
      </w:pPr>
      <w:r>
        <w:rPr>
          <w:rFonts w:ascii="Times New Roman" w:hAnsi="Times New Roman" w:cs="Times New Roman"/>
          <w:bCs/>
          <w:iCs/>
          <w:sz w:val="20"/>
          <w:szCs w:val="20"/>
        </w:rPr>
        <w:t>Option 3. Signal the GNSS measurement gap by MAC CE command.</w:t>
      </w:r>
    </w:p>
    <w:p>
      <w:pPr>
        <w:spacing w:before="120" w:beforeLines="50" w:after="120" w:afterLines="50"/>
        <w:jc w:val="center"/>
      </w:pPr>
      <w:r>
        <w:drawing>
          <wp:inline distT="0" distB="0" distL="114300" distR="114300">
            <wp:extent cx="5735320" cy="1287780"/>
            <wp:effectExtent l="0" t="0" r="825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735320" cy="1287780"/>
                    </a:xfrm>
                    <a:prstGeom prst="rect">
                      <a:avLst/>
                    </a:prstGeom>
                    <a:noFill/>
                    <a:ln>
                      <a:noFill/>
                    </a:ln>
                  </pic:spPr>
                </pic:pic>
              </a:graphicData>
            </a:graphic>
          </wp:inline>
        </w:drawing>
      </w:r>
    </w:p>
    <w:p>
      <w:pPr>
        <w:spacing w:before="120" w:beforeLines="50" w:after="120" w:afterLines="50"/>
        <w:jc w:val="center"/>
        <w:rPr>
          <w:rFonts w:ascii="Times New Roman" w:hAnsi="Times New Roman" w:cs="Times New Roman"/>
          <w:bCs/>
          <w:iCs/>
          <w:sz w:val="20"/>
          <w:szCs w:val="20"/>
        </w:rPr>
      </w:pPr>
      <w:r>
        <w:rPr>
          <w:rFonts w:ascii="Times New Roman" w:hAnsi="Times New Roman" w:cs="Times New Roman"/>
          <w:bCs/>
          <w:iCs/>
          <w:sz w:val="20"/>
          <w:szCs w:val="20"/>
        </w:rPr>
        <w:t>Figure 1. Illustration of GNSS measurement gaps</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For Option 1, it is suggested that the network can semi-statically configure the period of GNSS measurement gaps for each UE, then UE can autonomously switch between GNSS measurement and data transmission for the service link according to the periodic configuration of network. </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Note that the </w:t>
      </w:r>
      <w:r>
        <w:rPr>
          <w:rFonts w:ascii="Times New Roman" w:hAnsi="Times New Roman" w:eastAsia="MS Mincho" w:cs="Times New Roman"/>
          <w:kern w:val="0"/>
          <w:sz w:val="20"/>
          <w:szCs w:val="20"/>
          <w:lang w:eastAsia="en-US"/>
        </w:rPr>
        <w:t xml:space="preserve">GNSS position fix re-acquirement should be operated as soon as possible when the original GNSS is expired, and at the same time frequent GNSS measurements that increase unnecessary power consumption should be avoided, which requires an appropriate period configuration according to the GNSS validity period. Thus, </w:t>
      </w:r>
      <w:r>
        <w:rPr>
          <w:rFonts w:ascii="Times New Roman" w:hAnsi="Times New Roman" w:cs="Times New Roman"/>
          <w:bCs/>
          <w:iCs/>
          <w:sz w:val="20"/>
          <w:szCs w:val="20"/>
        </w:rPr>
        <w:t>assist information reported by UE is needed to facilitate network determining the period of GNSS measurement gap. Based on the reporting information, the network determines the time that UE can re-acquire the GNSS for the first time during the long transmission period and the period of the GNSS measurement gap, which will be configured to the UE through RRC signaling. As a result, UE can perform GNSS measurement periodically and automatically switch between GNSS and NB-IoT/eMTC operation.</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For Option 2, trigger a new GNSS measurement during long transmission with a DCI format can also work, the scheduling can be more flexible as the GNSS position fix being performed on demand. While considering that UE requiring</w:t>
      </w:r>
      <w:r>
        <w:rPr>
          <w:rFonts w:ascii="Times New Roman" w:hAnsi="Times New Roman" w:cs="Times New Roman"/>
          <w:bCs/>
          <w:sz w:val="20"/>
          <w:szCs w:val="20"/>
        </w:rPr>
        <w:t xml:space="preserve"> a new GNSS position fix is usually a low-frequency event</w:t>
      </w:r>
      <w:r>
        <w:rPr>
          <w:rFonts w:ascii="Times New Roman" w:hAnsi="Times New Roman" w:cs="Times New Roman"/>
          <w:bCs/>
          <w:iCs/>
          <w:sz w:val="20"/>
          <w:szCs w:val="20"/>
        </w:rPr>
        <w:t>, there seems no need to add additional indication field to current DCI format to indicate the GNSS operation.</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For Option 3, signal the GNSS measurement gap by MAC CE command seems also suitable to allow a quick update of GNSS measurement, while the latency and signalling overhead to switch on a new GNSS measurement need further discussions.</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Regarding the above configuration of GNSS measurement gap for a new GNSS position fix during long connection times, Option </w:t>
      </w:r>
      <w:r>
        <w:rPr>
          <w:rFonts w:ascii="Times New Roman" w:hAnsi="Times New Roman" w:cs="Times New Roman"/>
          <w:bCs/>
          <w:iCs/>
          <w:sz w:val="20"/>
          <w:szCs w:val="20"/>
          <w:highlight w:val="none"/>
        </w:rPr>
        <w:t>1</w:t>
      </w:r>
      <w:r>
        <w:rPr>
          <w:rFonts w:ascii="Times New Roman" w:hAnsi="Times New Roman" w:cs="Times New Roman"/>
          <w:bCs/>
          <w:iCs/>
          <w:sz w:val="20"/>
          <w:szCs w:val="20"/>
        </w:rPr>
        <w:t xml:space="preserve"> is preferred with the benefit of </w:t>
      </w:r>
      <w:r>
        <w:rPr>
          <w:rFonts w:ascii="Times New Roman" w:hAnsi="Times New Roman" w:cs="Times New Roman" w:eastAsiaTheme="majorEastAsia"/>
          <w:sz w:val="20"/>
          <w:szCs w:val="20"/>
          <w:lang w:val="en-GB"/>
        </w:rPr>
        <w:t>less signalling overhead</w:t>
      </w:r>
      <w:r>
        <w:rPr>
          <w:rFonts w:ascii="Times New Roman" w:hAnsi="Times New Roman" w:cs="Times New Roman" w:eastAsiaTheme="majorEastAsia"/>
          <w:sz w:val="20"/>
          <w:szCs w:val="20"/>
        </w:rPr>
        <w:t xml:space="preserve">. </w:t>
      </w:r>
      <w:r>
        <w:rPr>
          <w:rFonts w:ascii="Times New Roman" w:hAnsi="Times New Roman" w:cs="Times New Roman"/>
          <w:bCs/>
          <w:iCs/>
          <w:sz w:val="20"/>
          <w:szCs w:val="20"/>
        </w:rPr>
        <w:t>In this case, power consumption to receive additional  signaling can be avoid</w:t>
      </w:r>
      <w:r>
        <w:rPr>
          <w:rFonts w:ascii="Times New Roman" w:hAnsi="Times New Roman" w:cs="Times New Roman" w:eastAsiaTheme="majorEastAsia"/>
          <w:sz w:val="20"/>
          <w:szCs w:val="20"/>
        </w:rPr>
        <w:t xml:space="preserve"> compared with another two signalling triggered mechanism</w:t>
      </w:r>
      <w:r>
        <w:rPr>
          <w:rFonts w:ascii="Times New Roman" w:hAnsi="Times New Roman" w:cs="Times New Roman" w:eastAsiaTheme="majorEastAsia"/>
          <w:sz w:val="20"/>
          <w:szCs w:val="20"/>
          <w:lang w:val="en-GB"/>
        </w:rPr>
        <w:t>.</w:t>
      </w:r>
    </w:p>
    <w:p>
      <w:pPr>
        <w:spacing w:before="120" w:beforeLines="50" w:after="120" w:afterLines="50"/>
        <w:rPr>
          <w:rFonts w:ascii="Times New Roman" w:hAnsi="Times New Roman" w:cs="Times New Roman"/>
          <w:b/>
          <w:bCs/>
          <w:iCs/>
          <w:sz w:val="20"/>
          <w:szCs w:val="20"/>
        </w:rPr>
      </w:pPr>
      <w:r>
        <w:rPr>
          <w:rFonts w:ascii="Times New Roman" w:hAnsi="Times New Roman" w:cs="Times New Roman" w:eastAsiaTheme="majorEastAsia"/>
          <w:b/>
          <w:bCs/>
          <w:sz w:val="20"/>
          <w:szCs w:val="20"/>
        </w:rPr>
        <w:t>Proposal 4. Considering the m</w:t>
      </w:r>
      <w:r>
        <w:rPr>
          <w:rFonts w:ascii="Times New Roman" w:hAnsi="Times New Roman" w:cs="Times New Roman"/>
          <w:b/>
          <w:bCs/>
          <w:sz w:val="20"/>
          <w:szCs w:val="20"/>
        </w:rPr>
        <w:t xml:space="preserve">echanisms to support UE perform GNSS operation and NTN NB-IoT/eMTC operation on non-overlapping slot/frame, </w:t>
      </w:r>
      <w:r>
        <w:rPr>
          <w:rFonts w:ascii="Times New Roman" w:hAnsi="Times New Roman" w:cs="Times New Roman"/>
          <w:b/>
          <w:bCs/>
          <w:iCs/>
          <w:sz w:val="20"/>
          <w:szCs w:val="20"/>
        </w:rPr>
        <w:t>the following configuration can be further studied:</w:t>
      </w:r>
    </w:p>
    <w:p>
      <w:pPr>
        <w:widowControl/>
        <w:numPr>
          <w:ilvl w:val="0"/>
          <w:numId w:val="11"/>
        </w:numPr>
        <w:spacing w:before="120" w:beforeLines="50" w:after="120" w:afterLines="50"/>
        <w:ind w:left="240" w:leftChars="100"/>
        <w:rPr>
          <w:rFonts w:ascii="Times New Roman" w:hAnsi="Times New Roman" w:cs="Times New Roman"/>
          <w:b/>
          <w:iCs/>
          <w:sz w:val="20"/>
          <w:szCs w:val="20"/>
        </w:rPr>
      </w:pPr>
      <w:r>
        <w:rPr>
          <w:rFonts w:ascii="Times New Roman" w:hAnsi="Times New Roman" w:cs="Times New Roman"/>
          <w:b/>
          <w:iCs/>
          <w:sz w:val="20"/>
          <w:szCs w:val="20"/>
        </w:rPr>
        <w:t>Option 1. Semi-static indication of GNSS measurement gap period through RRC configuration.</w:t>
      </w:r>
    </w:p>
    <w:p>
      <w:pPr>
        <w:widowControl/>
        <w:numPr>
          <w:ilvl w:val="0"/>
          <w:numId w:val="11"/>
        </w:numPr>
        <w:spacing w:before="120" w:beforeLines="50" w:after="120" w:afterLines="50"/>
        <w:ind w:left="240" w:leftChars="100"/>
        <w:rPr>
          <w:rFonts w:ascii="Times New Roman" w:hAnsi="Times New Roman" w:cs="Times New Roman"/>
          <w:b/>
          <w:iCs/>
          <w:sz w:val="20"/>
          <w:szCs w:val="20"/>
        </w:rPr>
      </w:pPr>
      <w:r>
        <w:rPr>
          <w:rFonts w:ascii="Times New Roman" w:hAnsi="Times New Roman" w:cs="Times New Roman"/>
          <w:b/>
          <w:iCs/>
          <w:sz w:val="20"/>
          <w:szCs w:val="20"/>
        </w:rPr>
        <w:t>Option 2. Indicate the GNSS measurement gap by DCI format.</w:t>
      </w:r>
    </w:p>
    <w:p>
      <w:pPr>
        <w:widowControl/>
        <w:numPr>
          <w:ilvl w:val="0"/>
          <w:numId w:val="11"/>
        </w:numPr>
        <w:spacing w:before="120" w:beforeLines="50" w:after="120" w:afterLines="50"/>
        <w:ind w:left="240" w:leftChars="100"/>
        <w:rPr>
          <w:rFonts w:ascii="Times New Roman" w:hAnsi="Times New Roman" w:cs="Times New Roman" w:eastAsiaTheme="majorEastAsia"/>
          <w:b/>
          <w:sz w:val="20"/>
          <w:szCs w:val="20"/>
          <w:lang w:val="en-GB"/>
        </w:rPr>
      </w:pPr>
      <w:r>
        <w:rPr>
          <w:rFonts w:ascii="Times New Roman" w:hAnsi="Times New Roman" w:cs="Times New Roman"/>
          <w:b/>
          <w:iCs/>
          <w:sz w:val="20"/>
          <w:szCs w:val="20"/>
        </w:rPr>
        <w:t>Option 3. Signal the GNSS measurement by MAC CE command.</w:t>
      </w:r>
    </w:p>
    <w:p>
      <w:pPr>
        <w:pStyle w:val="3"/>
        <w:numPr>
          <w:ilvl w:val="1"/>
          <w:numId w:val="0"/>
        </w:numPr>
        <w:spacing w:before="120" w:after="120"/>
        <w:rPr>
          <w:b/>
          <w:bCs/>
        </w:rPr>
      </w:pPr>
      <w:r>
        <w:rPr>
          <w:b/>
          <w:bCs/>
        </w:rPr>
        <w:t>2.2 Issue-2: GNSS Position fix impact on UE power consumption</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To support NB-IoT and eMTC over satellite, the necessary enhancements should focus on coverage, capacity, power consumption and complexity (cost). Considering that GNSS position update may be required </w:t>
      </w:r>
      <w:r>
        <w:rPr>
          <w:rFonts w:ascii="Times" w:hAnsi="Times"/>
          <w:sz w:val="20"/>
        </w:rPr>
        <w:t>for NB-IoT</w:t>
      </w:r>
      <w:r>
        <w:rPr>
          <w:rFonts w:hint="eastAsia" w:ascii="Times" w:hAnsi="Times"/>
          <w:sz w:val="20"/>
        </w:rPr>
        <w:t>/eMTC</w:t>
      </w:r>
      <w:r>
        <w:rPr>
          <w:rFonts w:ascii="Times" w:hAnsi="Times"/>
          <w:sz w:val="20"/>
        </w:rPr>
        <w:t xml:space="preserve"> during long transmission, </w:t>
      </w:r>
      <w:r>
        <w:rPr>
          <w:rFonts w:ascii="Times New Roman" w:hAnsi="Times New Roman" w:cs="Times New Roman"/>
          <w:bCs/>
          <w:iCs/>
          <w:sz w:val="20"/>
          <w:szCs w:val="20"/>
        </w:rPr>
        <w:t>the potential impact of GNSS position fix on UE power consumption and complexity/cost should be considered.</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For long connection, the power consumption of alternate GNSS measurement and data transmission needs to be evaluated. Besides, one of the main motivation for IoT NTN is investigating power efficient operation in order to support extended battery lifetime. Therefore, mechanism for GNSS position fix updating that can achieve a trade-off between power saving and effective synchronization performance based on GNSS position should be investigated. For example, how to ensure available GNSS position with minimum number of GNSS measurement, and the power consumption of signalling overhead may also need to be evaluated. </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 xml:space="preserve">Proposal 5. For long connection, the power consumption of potential mechanisms that enable alternate GNSS measurement and data transmission needs to be evaluated. </w:t>
      </w:r>
    </w:p>
    <w:p>
      <w:pPr>
        <w:spacing w:before="120" w:beforeLines="50" w:after="120" w:afterLines="50"/>
        <w:rPr>
          <w:rFonts w:ascii="Times New Roman" w:hAnsi="Times New Roman" w:cs="Times New Roman"/>
          <w:b/>
          <w:iCs/>
          <w:sz w:val="20"/>
          <w:szCs w:val="20"/>
        </w:rPr>
      </w:pPr>
      <w:bookmarkStart w:id="22" w:name="_GoBack"/>
      <w:bookmarkEnd w:id="22"/>
    </w:p>
    <w:bookmarkEnd w:id="5"/>
    <w:p>
      <w:pPr>
        <w:pStyle w:val="2"/>
        <w:numPr>
          <w:ilvl w:val="0"/>
          <w:numId w:val="10"/>
        </w:numPr>
        <w:pBdr>
          <w:top w:val="none" w:color="auto" w:sz="0" w:space="1"/>
          <w:left w:val="none" w:color="auto" w:sz="0" w:space="4"/>
          <w:bottom w:val="none" w:color="auto" w:sz="0" w:space="1"/>
          <w:right w:val="none" w:color="auto" w:sz="0" w:space="4"/>
        </w:pBdr>
        <w:spacing w:before="120" w:after="120"/>
        <w:ind w:left="363" w:hanging="363"/>
        <w:rPr>
          <w:rFonts w:ascii="Times New Roman" w:hAnsi="Times New Roman"/>
        </w:rPr>
      </w:pPr>
      <w:r>
        <w:rPr>
          <w:rFonts w:ascii="Times New Roman" w:hAnsi="Times New Roman"/>
        </w:rPr>
        <w:t>Conclusions</w:t>
      </w:r>
    </w:p>
    <w:p>
      <w:pPr>
        <w:rPr>
          <w:rFonts w:ascii="Times New Roman" w:hAnsi="Times New Roman" w:cs="Times New Roman"/>
          <w:b/>
          <w:iCs/>
          <w:sz w:val="20"/>
          <w:szCs w:val="20"/>
        </w:rPr>
      </w:pPr>
      <w:r>
        <w:rPr>
          <w:rFonts w:ascii="Times New Roman" w:hAnsi="Times New Roman" w:cs="Times New Roman"/>
          <w:sz w:val="20"/>
          <w:szCs w:val="20"/>
          <w:lang w:val="en-GB"/>
        </w:rPr>
        <w:t xml:space="preserve">In this contribution, we </w:t>
      </w:r>
      <w:r>
        <w:rPr>
          <w:rFonts w:ascii="Times New Roman" w:hAnsi="Times New Roman" w:cs="Times New Roman"/>
          <w:sz w:val="20"/>
          <w:szCs w:val="20"/>
        </w:rPr>
        <w:t xml:space="preserve">mainly </w:t>
      </w:r>
      <w:r>
        <w:rPr>
          <w:rFonts w:ascii="Times New Roman" w:hAnsi="Times New Roman" w:cs="Times New Roman"/>
          <w:sz w:val="20"/>
          <w:szCs w:val="20"/>
          <w:lang w:val="en-GB"/>
        </w:rPr>
        <w:t xml:space="preserve">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w:t>
      </w:r>
      <w:r>
        <w:rPr>
          <w:rFonts w:ascii="Times New Roman" w:hAnsi="Times New Roman" w:eastAsia="MS Mincho" w:cs="Times New Roman"/>
          <w:kern w:val="0"/>
          <w:sz w:val="20"/>
          <w:szCs w:val="20"/>
          <w:lang w:eastAsia="en-US"/>
        </w:rPr>
        <w:t>improved GNSS operations for a new position fix for UE pre-compensation during long connection times</w:t>
      </w:r>
      <w:r>
        <w:rPr>
          <w:rFonts w:ascii="Times New Roman" w:hAnsi="Times New Roman" w:cs="Times New Roman"/>
          <w:sz w:val="20"/>
          <w:szCs w:val="20"/>
          <w:lang w:val="en-GB"/>
        </w:rPr>
        <w:t>. The observations and proposals are summarized as follows:</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Proposal 1. During long connection times, GNSS measurement may be re-acquired for timing and frequency pre-compensation due to the limited GNSS validity duration, and the GNSS measurement gaps can be applied to update the GNSS position fix.</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 xml:space="preserve">Proposal 2. If GNSS measurement gap is applied to enable a new GNSS position fix during long connection times, the common understanding between UE and eNB that </w:t>
      </w:r>
      <w:r>
        <w:rPr>
          <w:rFonts w:ascii="Times New Roman" w:hAnsi="Times New Roman" w:cs="Times New Roman"/>
          <w:b/>
          <w:sz w:val="20"/>
          <w:szCs w:val="20"/>
        </w:rPr>
        <w:t>UE may</w:t>
      </w:r>
      <w:r>
        <w:rPr>
          <w:rFonts w:ascii="Times New Roman" w:hAnsi="Times New Roman" w:cs="Times New Roman"/>
          <w:b/>
          <w:iCs/>
          <w:sz w:val="20"/>
          <w:szCs w:val="20"/>
        </w:rPr>
        <w:t xml:space="preserve"> automatically </w:t>
      </w:r>
      <w:r>
        <w:rPr>
          <w:rFonts w:ascii="Times New Roman" w:hAnsi="Times New Roman" w:cs="Times New Roman"/>
          <w:b/>
          <w:sz w:val="20"/>
          <w:szCs w:val="20"/>
        </w:rPr>
        <w:t xml:space="preserve">perform GNSS operation and NTN NB-IoT/eMTC operation on non-overlapping slot/frame </w:t>
      </w:r>
      <w:r>
        <w:rPr>
          <w:rFonts w:ascii="Times New Roman" w:hAnsi="Times New Roman" w:cs="Times New Roman"/>
          <w:b/>
          <w:iCs/>
          <w:sz w:val="20"/>
          <w:szCs w:val="20"/>
        </w:rPr>
        <w:t>should be achieved</w:t>
      </w:r>
      <w:r>
        <w:rPr>
          <w:rFonts w:ascii="Times New Roman" w:hAnsi="Times New Roman" w:cs="Times New Roman"/>
          <w:b/>
          <w:sz w:val="20"/>
          <w:szCs w:val="20"/>
        </w:rPr>
        <w:t>.</w:t>
      </w:r>
    </w:p>
    <w:p>
      <w:pPr>
        <w:spacing w:before="120" w:beforeLines="50" w:after="120" w:afterLines="50"/>
        <w:rPr>
          <w:rFonts w:ascii="Times New Roman" w:hAnsi="Times New Roman" w:cs="Times New Roman"/>
          <w:sz w:val="20"/>
          <w:szCs w:val="20"/>
        </w:rPr>
      </w:pPr>
      <w:r>
        <w:rPr>
          <w:rFonts w:ascii="Times New Roman" w:hAnsi="Times New Roman" w:cs="Times New Roman"/>
          <w:b/>
          <w:iCs/>
          <w:sz w:val="20"/>
          <w:szCs w:val="20"/>
        </w:rPr>
        <w:t>Proposal 3. The GNSS measurement gaps can be configured individually per UE level.</w:t>
      </w:r>
    </w:p>
    <w:p>
      <w:pPr>
        <w:spacing w:before="120" w:beforeLines="50" w:after="120" w:afterLines="50"/>
        <w:rPr>
          <w:rFonts w:ascii="Times New Roman" w:hAnsi="Times New Roman" w:cs="Times New Roman"/>
          <w:b/>
          <w:bCs/>
          <w:iCs/>
          <w:sz w:val="20"/>
          <w:szCs w:val="20"/>
        </w:rPr>
      </w:pPr>
      <w:r>
        <w:rPr>
          <w:rFonts w:ascii="Times New Roman" w:hAnsi="Times New Roman" w:cs="Times New Roman" w:eastAsiaTheme="majorEastAsia"/>
          <w:b/>
          <w:bCs/>
          <w:sz w:val="20"/>
          <w:szCs w:val="20"/>
        </w:rPr>
        <w:t>Proposal 4. Considering the m</w:t>
      </w:r>
      <w:r>
        <w:rPr>
          <w:rFonts w:ascii="Times New Roman" w:hAnsi="Times New Roman" w:cs="Times New Roman"/>
          <w:b/>
          <w:bCs/>
          <w:sz w:val="20"/>
          <w:szCs w:val="20"/>
        </w:rPr>
        <w:t xml:space="preserve">echanisms to support UE perform GNSS operation and NTN NB-IoT/eMTC operation on non-overlapping slot/frame, </w:t>
      </w:r>
      <w:r>
        <w:rPr>
          <w:rFonts w:ascii="Times New Roman" w:hAnsi="Times New Roman" w:cs="Times New Roman"/>
          <w:b/>
          <w:bCs/>
          <w:iCs/>
          <w:sz w:val="20"/>
          <w:szCs w:val="20"/>
        </w:rPr>
        <w:t>the following configuration can be further studied:</w:t>
      </w:r>
    </w:p>
    <w:p>
      <w:pPr>
        <w:widowControl/>
        <w:numPr>
          <w:ilvl w:val="0"/>
          <w:numId w:val="11"/>
        </w:numPr>
        <w:spacing w:before="120" w:beforeLines="50" w:after="120" w:afterLines="50"/>
        <w:ind w:left="240" w:leftChars="100"/>
        <w:rPr>
          <w:rFonts w:ascii="Times New Roman" w:hAnsi="Times New Roman" w:cs="Times New Roman"/>
          <w:b/>
          <w:iCs/>
          <w:sz w:val="20"/>
          <w:szCs w:val="20"/>
        </w:rPr>
      </w:pPr>
      <w:r>
        <w:rPr>
          <w:rFonts w:ascii="Times New Roman" w:hAnsi="Times New Roman" w:cs="Times New Roman"/>
          <w:b/>
          <w:iCs/>
          <w:sz w:val="20"/>
          <w:szCs w:val="20"/>
        </w:rPr>
        <w:t>Option 1. Semi-static indication of GNSS measurement gap period through RRC configuration.</w:t>
      </w:r>
    </w:p>
    <w:p>
      <w:pPr>
        <w:widowControl/>
        <w:numPr>
          <w:ilvl w:val="0"/>
          <w:numId w:val="11"/>
        </w:numPr>
        <w:spacing w:before="120" w:beforeLines="50" w:after="120" w:afterLines="50"/>
        <w:ind w:left="240" w:leftChars="100"/>
        <w:rPr>
          <w:rFonts w:ascii="Times New Roman" w:hAnsi="Times New Roman" w:cs="Times New Roman"/>
          <w:b/>
          <w:iCs/>
          <w:sz w:val="20"/>
          <w:szCs w:val="20"/>
        </w:rPr>
      </w:pPr>
      <w:r>
        <w:rPr>
          <w:rFonts w:ascii="Times New Roman" w:hAnsi="Times New Roman" w:cs="Times New Roman"/>
          <w:b/>
          <w:iCs/>
          <w:sz w:val="20"/>
          <w:szCs w:val="20"/>
        </w:rPr>
        <w:t>Option 2. Indicate the GNSS measurement gap by DCI format.</w:t>
      </w:r>
    </w:p>
    <w:p>
      <w:pPr>
        <w:widowControl/>
        <w:numPr>
          <w:ilvl w:val="0"/>
          <w:numId w:val="11"/>
        </w:numPr>
        <w:spacing w:before="120" w:beforeLines="50" w:after="120" w:afterLines="50"/>
        <w:ind w:left="240" w:leftChars="100"/>
        <w:rPr>
          <w:rFonts w:ascii="Times New Roman" w:hAnsi="Times New Roman" w:cs="Times New Roman"/>
          <w:b/>
          <w:iCs/>
          <w:sz w:val="20"/>
          <w:szCs w:val="20"/>
        </w:rPr>
      </w:pPr>
      <w:r>
        <w:rPr>
          <w:rFonts w:ascii="Times New Roman" w:hAnsi="Times New Roman" w:cs="Times New Roman"/>
          <w:b/>
          <w:iCs/>
          <w:sz w:val="20"/>
          <w:szCs w:val="20"/>
        </w:rPr>
        <w:t>Option 3. Signal the GNSS measurement by MAC CE command.</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 xml:space="preserve">Proposal 5. For long connection, the power consumption of potential mechanisms that enable alternate GNSS measurement and data transmission needs to be evaluated. </w:t>
      </w:r>
    </w:p>
    <w:p>
      <w:pPr>
        <w:spacing w:before="120" w:beforeLines="50" w:after="120" w:afterLines="50"/>
        <w:rPr>
          <w:rFonts w:ascii="Times New Roman" w:hAnsi="Times New Roman" w:cs="Times New Roman"/>
          <w:b/>
          <w:iCs/>
          <w:sz w:val="20"/>
          <w:szCs w:val="20"/>
        </w:rPr>
      </w:pPr>
    </w:p>
    <w:p>
      <w:pPr>
        <w:pStyle w:val="2"/>
        <w:numPr>
          <w:ilvl w:val="0"/>
          <w:numId w:val="10"/>
        </w:numPr>
        <w:pBdr>
          <w:top w:val="none" w:color="auto" w:sz="0" w:space="1"/>
          <w:left w:val="none" w:color="auto" w:sz="0" w:space="4"/>
          <w:bottom w:val="none" w:color="auto" w:sz="0" w:space="1"/>
          <w:right w:val="none" w:color="auto" w:sz="0" w:space="4"/>
        </w:pBdr>
        <w:spacing w:before="120" w:after="120"/>
        <w:ind w:left="363" w:hanging="363"/>
        <w:rPr>
          <w:rFonts w:ascii="Times New Roman" w:hAnsi="Times New Roman"/>
        </w:rPr>
      </w:pPr>
      <w:r>
        <w:rPr>
          <w:rFonts w:ascii="Times New Roman" w:hAnsi="Times New Roman"/>
        </w:rPr>
        <w:t>References</w:t>
      </w:r>
    </w:p>
    <w:p>
      <w:pPr>
        <w:pStyle w:val="112"/>
        <w:numPr>
          <w:ilvl w:val="0"/>
          <w:numId w:val="13"/>
        </w:numPr>
        <w:spacing w:before="120" w:after="120"/>
        <w:ind w:firstLineChars="0"/>
        <w:rPr>
          <w:rFonts w:cs="Times New Roman"/>
          <w:sz w:val="20"/>
          <w:szCs w:val="20"/>
        </w:rPr>
      </w:pPr>
      <w:bookmarkStart w:id="6" w:name="_Ref505807368"/>
      <w:bookmarkStart w:id="7" w:name="_Ref86784880"/>
      <w:bookmarkStart w:id="8" w:name="_Ref71203205"/>
      <w:bookmarkStart w:id="9" w:name="_Ref78875676"/>
      <w:bookmarkStart w:id="10" w:name="_Ref521313643"/>
      <w:bookmarkStart w:id="11" w:name="_Ref30757894"/>
      <w:bookmarkStart w:id="12" w:name="_Ref533782101"/>
      <w:bookmarkStart w:id="13" w:name="_Ref505867252"/>
      <w:bookmarkStart w:id="14" w:name="_Ref521162878"/>
      <w:bookmarkStart w:id="15" w:name="_Ref23496549"/>
      <w:bookmarkStart w:id="16" w:name="_Ref53491160"/>
      <w:bookmarkStart w:id="17" w:name="_Ref83712416"/>
      <w:bookmarkStart w:id="18" w:name="_Ref60817485"/>
      <w:bookmarkStart w:id="19" w:name="_Ref53511278"/>
      <w:r>
        <w:rPr>
          <w:rFonts w:hint="eastAsia" w:cs="Times New Roman"/>
          <w:sz w:val="20"/>
          <w:szCs w:val="20"/>
        </w:rPr>
        <w:t>RP-2</w:t>
      </w:r>
      <w:r>
        <w:rPr>
          <w:rFonts w:cs="Times New Roman"/>
          <w:sz w:val="20"/>
          <w:szCs w:val="20"/>
        </w:rPr>
        <w:t>20979</w:t>
      </w:r>
      <w:r>
        <w:rPr>
          <w:rFonts w:hint="eastAsia" w:cs="Times New Roman"/>
          <w:sz w:val="20"/>
          <w:szCs w:val="20"/>
        </w:rPr>
        <w:t>, Revised WID on IoT NTN enhancements, RAN#9</w:t>
      </w:r>
      <w:r>
        <w:rPr>
          <w:rFonts w:cs="Times New Roman"/>
          <w:sz w:val="20"/>
          <w:szCs w:val="20"/>
        </w:rPr>
        <w:t>5.</w:t>
      </w:r>
      <w:r>
        <w:rPr>
          <w:rFonts w:hint="eastAsia" w:cs="Times New Roman"/>
          <w:sz w:val="20"/>
          <w:szCs w:val="20"/>
        </w:rPr>
        <w:t xml:space="preserve"> </w:t>
      </w:r>
    </w:p>
    <w:p>
      <w:pPr>
        <w:pStyle w:val="112"/>
        <w:numPr>
          <w:ilvl w:val="0"/>
          <w:numId w:val="13"/>
        </w:numPr>
        <w:spacing w:before="120" w:after="120"/>
        <w:ind w:firstLineChars="0"/>
        <w:rPr>
          <w:rFonts w:cs="Times New Roman"/>
          <w:sz w:val="20"/>
          <w:szCs w:val="20"/>
        </w:rPr>
      </w:pPr>
      <w:r>
        <w:rPr>
          <w:rFonts w:cs="Times New Roman"/>
          <w:sz w:val="20"/>
          <w:szCs w:val="20"/>
        </w:rPr>
        <w:t xml:space="preserve">Chairman's Notes RAN1#106-e, </w:t>
      </w:r>
      <w:r>
        <w:rPr>
          <w:rFonts w:hint="eastAsia" w:cs="Times New Roman"/>
          <w:sz w:val="20"/>
          <w:szCs w:val="20"/>
        </w:rPr>
        <w:t>August 16th – 27th, 2021</w:t>
      </w:r>
    </w:p>
    <w:p>
      <w:pPr>
        <w:pStyle w:val="112"/>
        <w:numPr>
          <w:ilvl w:val="0"/>
          <w:numId w:val="13"/>
        </w:numPr>
        <w:spacing w:before="120" w:after="120"/>
        <w:ind w:firstLineChars="0"/>
        <w:rPr>
          <w:rFonts w:cs="Times New Roman"/>
          <w:sz w:val="20"/>
          <w:szCs w:val="20"/>
        </w:rPr>
      </w:pPr>
      <w:bookmarkStart w:id="20" w:name="_Ref86649824"/>
      <w:bookmarkStart w:id="21" w:name="_Ref86935255"/>
      <w:r>
        <w:rPr>
          <w:rFonts w:cs="Times New Roman"/>
          <w:sz w:val="20"/>
          <w:szCs w:val="20"/>
        </w:rPr>
        <w:t xml:space="preserve">Chairman's Notes RAN1#107-e, </w:t>
      </w:r>
      <w:r>
        <w:rPr>
          <w:rFonts w:hint="eastAsia" w:cs="Times New Roman"/>
          <w:sz w:val="20"/>
          <w:szCs w:val="20"/>
        </w:rPr>
        <w:t>November 11th – 19th, 2021</w:t>
      </w:r>
      <w:bookmarkEnd w:id="20"/>
      <w:r>
        <w:rPr>
          <w:rFonts w:cs="Times New Roman"/>
          <w:sz w:val="20"/>
          <w:szCs w:val="20"/>
        </w:rPr>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p>
    <w:sectPr>
      <w:footerReference r:id="rId3" w:type="default"/>
      <w:pgSz w:w="12240" w:h="15840"/>
      <w:pgMar w:top="1417"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singleLevel"/>
    <w:tmpl w:val="01CACE15"/>
    <w:lvl w:ilvl="0" w:tentative="0">
      <w:start w:val="1"/>
      <w:numFmt w:val="bullet"/>
      <w:lvlText w:val=""/>
      <w:lvlJc w:val="left"/>
      <w:pPr>
        <w:ind w:left="420" w:hanging="420"/>
      </w:pPr>
      <w:rPr>
        <w:rFonts w:hint="default" w:ascii="Wingdings" w:hAnsi="Wingdings"/>
        <w:sz w:val="15"/>
        <w:szCs w:val="15"/>
      </w:rPr>
    </w:lvl>
  </w:abstractNum>
  <w:abstractNum w:abstractNumId="3">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6">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7">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49987D87"/>
    <w:multiLevelType w:val="singleLevel"/>
    <w:tmpl w:val="49987D87"/>
    <w:lvl w:ilvl="0" w:tentative="0">
      <w:start w:val="1"/>
      <w:numFmt w:val="bullet"/>
      <w:lvlText w:val="○"/>
      <w:lvlJc w:val="left"/>
      <w:pPr>
        <w:ind w:left="420" w:hanging="420"/>
      </w:pPr>
      <w:rPr>
        <w:rFonts w:hint="default" w:ascii="微软雅黑" w:hAnsi="微软雅黑" w:eastAsia="微软雅黑" w:cs="Segoe Print"/>
      </w:rPr>
    </w:lvl>
  </w:abstractNum>
  <w:abstractNum w:abstractNumId="9">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2">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0"/>
  </w:num>
  <w:num w:numId="3">
    <w:abstractNumId w:val="1"/>
  </w:num>
  <w:num w:numId="4">
    <w:abstractNumId w:val="5"/>
  </w:num>
  <w:num w:numId="5">
    <w:abstractNumId w:val="11"/>
  </w:num>
  <w:num w:numId="6">
    <w:abstractNumId w:val="12"/>
  </w:num>
  <w:num w:numId="7">
    <w:abstractNumId w:val="6"/>
    <w:lvlOverride w:ilvl="0">
      <w:startOverride w:val="1"/>
    </w:lvlOverride>
  </w:num>
  <w:num w:numId="8">
    <w:abstractNumId w:val="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 w:numId="12">
    <w:abstractNumId w:val="8"/>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4F34BAE"/>
    <w:rsid w:val="05705523"/>
    <w:rsid w:val="06825770"/>
    <w:rsid w:val="07981EFC"/>
    <w:rsid w:val="07AE362C"/>
    <w:rsid w:val="08A31148"/>
    <w:rsid w:val="0B6757B0"/>
    <w:rsid w:val="105B445C"/>
    <w:rsid w:val="12F9224E"/>
    <w:rsid w:val="18B70AB7"/>
    <w:rsid w:val="1C0E3D46"/>
    <w:rsid w:val="1E2B7484"/>
    <w:rsid w:val="21A15951"/>
    <w:rsid w:val="28330FCA"/>
    <w:rsid w:val="2A2749D4"/>
    <w:rsid w:val="2D2A7528"/>
    <w:rsid w:val="2EDE3313"/>
    <w:rsid w:val="353C0870"/>
    <w:rsid w:val="3E3C2BB1"/>
    <w:rsid w:val="41CA3534"/>
    <w:rsid w:val="42D274BE"/>
    <w:rsid w:val="433A77EC"/>
    <w:rsid w:val="4A0542D4"/>
    <w:rsid w:val="4AFD1EAC"/>
    <w:rsid w:val="4E4E624C"/>
    <w:rsid w:val="4F090424"/>
    <w:rsid w:val="53D8539B"/>
    <w:rsid w:val="56FD438B"/>
    <w:rsid w:val="62665E83"/>
    <w:rsid w:val="62CD6774"/>
    <w:rsid w:val="6689227E"/>
    <w:rsid w:val="673027E6"/>
    <w:rsid w:val="67865374"/>
    <w:rsid w:val="690D44BB"/>
    <w:rsid w:val="6C0B7A96"/>
    <w:rsid w:val="6C801C4F"/>
    <w:rsid w:val="7B252B0C"/>
    <w:rsid w:val="7E431004"/>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2026</Words>
  <Characters>11550</Characters>
  <Lines>96</Lines>
  <Paragraphs>27</Paragraphs>
  <TotalTime>64</TotalTime>
  <ScaleCrop>false</ScaleCrop>
  <LinksUpToDate>false</LinksUpToDate>
  <CharactersWithSpaces>13549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2022-04-29T03:14:24Z</dcterms:modified>
  <cp:revision>2476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